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263"/>
        <w:gridCol w:w="1047"/>
        <w:gridCol w:w="1067"/>
        <w:gridCol w:w="978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Observations</w:t>
            </w:r>
          </w:p>
        </w:tc>
        <w:tc>
          <w:tcPr>
            <w:tcW w:type="dxa" w:w="309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Level of proficiency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Low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Med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High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Learning/ Behaviors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Provide guidance beyond the point where the individual is unable to do independently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Make learning expectations explicit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verbally demonstrated that they have good understanding of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 prior knowledge for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 an understanding of the working situation by performing a demo/ role play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Resources &amp; Materials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Books, notes, prepared materials, database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Experience, prior knowledge, education, trainings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Computers, boards, internet, notebooks, prototypes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Learning environment conductive to desired instruction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Level of social environment being conductive to learning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5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 xml:space="preserve">Exposure provided to learners to enhance interaction between behavior, perception and the environment 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reinforcement directly or indirectly (or to oneself)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models to enhance learning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material/social reinforcements/feedbacks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Social situations/interactions conductive to learning 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Final Checklist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Make learning expectations explicit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Books, notes, preparation materials, databases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 an understanding of the working situation by performing a demo/ role play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Computers, boards, internet, notebooks, prototypes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Level of social environment being conductive to learning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reinforcement directly or indirectly (or to oneself)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models to enhance learning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